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183" w:rsidRDefault="001A1183" w:rsidP="001A1183">
      <w:pPr>
        <w:spacing w:line="480" w:lineRule="auto"/>
        <w:ind w:firstLine="720"/>
        <w:jc w:val="center"/>
        <w:rPr>
          <w:rFonts w:ascii="Times New Roman" w:hAnsi="Times New Roman" w:cs="Times New Roman"/>
          <w:sz w:val="24"/>
          <w:szCs w:val="24"/>
        </w:rPr>
      </w:pPr>
    </w:p>
    <w:p w:rsidR="001A1183" w:rsidRDefault="001A1183" w:rsidP="001A1183">
      <w:pPr>
        <w:spacing w:line="480" w:lineRule="auto"/>
        <w:ind w:firstLine="720"/>
        <w:jc w:val="center"/>
        <w:rPr>
          <w:rFonts w:ascii="Times New Roman" w:hAnsi="Times New Roman" w:cs="Times New Roman"/>
          <w:sz w:val="24"/>
          <w:szCs w:val="24"/>
        </w:rPr>
      </w:pPr>
    </w:p>
    <w:p w:rsidR="001A1183" w:rsidRDefault="001A1183" w:rsidP="001A1183">
      <w:pPr>
        <w:spacing w:line="480" w:lineRule="auto"/>
        <w:ind w:firstLine="720"/>
        <w:jc w:val="center"/>
        <w:rPr>
          <w:rFonts w:ascii="Times New Roman" w:hAnsi="Times New Roman" w:cs="Times New Roman"/>
          <w:sz w:val="24"/>
          <w:szCs w:val="24"/>
        </w:rPr>
      </w:pPr>
    </w:p>
    <w:p w:rsidR="001A1183" w:rsidRDefault="001A1183" w:rsidP="001A1183">
      <w:pPr>
        <w:spacing w:line="480" w:lineRule="auto"/>
        <w:ind w:firstLine="720"/>
        <w:jc w:val="center"/>
        <w:rPr>
          <w:rFonts w:ascii="Times New Roman" w:hAnsi="Times New Roman" w:cs="Times New Roman"/>
          <w:sz w:val="24"/>
          <w:szCs w:val="24"/>
        </w:rPr>
      </w:pPr>
    </w:p>
    <w:p w:rsidR="001A1183" w:rsidRDefault="001A1183" w:rsidP="001A1183">
      <w:pPr>
        <w:spacing w:line="480" w:lineRule="auto"/>
        <w:ind w:firstLine="720"/>
        <w:jc w:val="center"/>
        <w:rPr>
          <w:rFonts w:ascii="Times New Roman" w:hAnsi="Times New Roman" w:cs="Times New Roman"/>
          <w:sz w:val="24"/>
          <w:szCs w:val="24"/>
        </w:rPr>
      </w:pPr>
    </w:p>
    <w:p w:rsidR="001A1183" w:rsidRDefault="001A1183" w:rsidP="001A1183">
      <w:pPr>
        <w:spacing w:line="480" w:lineRule="auto"/>
        <w:ind w:firstLine="720"/>
        <w:jc w:val="center"/>
        <w:rPr>
          <w:rFonts w:ascii="Times New Roman" w:hAnsi="Times New Roman" w:cs="Times New Roman"/>
          <w:sz w:val="24"/>
          <w:szCs w:val="24"/>
        </w:rPr>
      </w:pPr>
    </w:p>
    <w:p w:rsidR="00244CAD" w:rsidRDefault="00FC0A19" w:rsidP="001A11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Article</w:t>
      </w:r>
      <w:r w:rsidR="00244CAD">
        <w:rPr>
          <w:rFonts w:ascii="Times New Roman" w:hAnsi="Times New Roman" w:cs="Times New Roman"/>
          <w:sz w:val="24"/>
          <w:szCs w:val="24"/>
        </w:rPr>
        <w:t xml:space="preserve"> Review</w:t>
      </w:r>
      <w:r w:rsidR="00DA179C">
        <w:rPr>
          <w:rFonts w:ascii="Times New Roman" w:hAnsi="Times New Roman" w:cs="Times New Roman"/>
          <w:sz w:val="24"/>
          <w:szCs w:val="24"/>
        </w:rPr>
        <w:t>: Critical Review</w:t>
      </w:r>
    </w:p>
    <w:p w:rsidR="00244CAD" w:rsidRDefault="00244CAD" w:rsidP="001A11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244CAD" w:rsidRDefault="00244CAD" w:rsidP="001A11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244CAD" w:rsidRDefault="00244CAD" w:rsidP="001A118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1A1183" w:rsidRPr="00196B1D" w:rsidRDefault="00196B1D" w:rsidP="00196B1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r w:rsidR="001A1183">
        <w:rPr>
          <w:rFonts w:ascii="Times New Roman" w:hAnsi="Times New Roman" w:cs="Times New Roman"/>
          <w:b/>
          <w:sz w:val="24"/>
          <w:szCs w:val="24"/>
        </w:rPr>
        <w:br w:type="page"/>
      </w:r>
    </w:p>
    <w:p w:rsidR="00810B01" w:rsidRPr="00196B1D" w:rsidRDefault="00196B1D" w:rsidP="00810B01">
      <w:pPr>
        <w:spacing w:line="480" w:lineRule="auto"/>
        <w:jc w:val="center"/>
        <w:rPr>
          <w:rFonts w:ascii="Times New Roman" w:hAnsi="Times New Roman" w:cs="Times New Roman"/>
          <w:sz w:val="24"/>
          <w:szCs w:val="24"/>
        </w:rPr>
      </w:pPr>
      <w:r w:rsidRPr="00196B1D">
        <w:rPr>
          <w:rFonts w:ascii="Times New Roman" w:hAnsi="Times New Roman" w:cs="Times New Roman"/>
          <w:sz w:val="24"/>
          <w:szCs w:val="24"/>
        </w:rPr>
        <w:lastRenderedPageBreak/>
        <w:t>Article review: Critical Review</w:t>
      </w:r>
    </w:p>
    <w:p w:rsidR="00196B1D" w:rsidRDefault="000F7EDA" w:rsidP="00196B1D">
      <w:pPr>
        <w:spacing w:line="480" w:lineRule="auto"/>
        <w:ind w:firstLine="720"/>
        <w:rPr>
          <w:rFonts w:ascii="Times New Roman" w:hAnsi="Times New Roman" w:cs="Times New Roman"/>
          <w:sz w:val="24"/>
          <w:szCs w:val="24"/>
        </w:rPr>
      </w:pPr>
      <w:r>
        <w:rPr>
          <w:rFonts w:ascii="Times New Roman" w:hAnsi="Times New Roman" w:cs="Times New Roman"/>
          <w:sz w:val="24"/>
          <w:szCs w:val="24"/>
        </w:rPr>
        <w:t>Down syndrome continues to be the most common chromosomal disorder. Each year, about 6,000 babies are born with Down syndrome, which is about 1 in every 700 babies born</w:t>
      </w:r>
      <w:r w:rsidR="00196B1D">
        <w:rPr>
          <w:rFonts w:ascii="Times New Roman" w:hAnsi="Times New Roman" w:cs="Times New Roman"/>
          <w:sz w:val="24"/>
          <w:szCs w:val="24"/>
        </w:rPr>
        <w:t xml:space="preserve"> (Kim et al. 2019)</w:t>
      </w:r>
      <w:r>
        <w:rPr>
          <w:rFonts w:ascii="Times New Roman" w:hAnsi="Times New Roman" w:cs="Times New Roman"/>
          <w:sz w:val="24"/>
          <w:szCs w:val="24"/>
        </w:rPr>
        <w:t xml:space="preserve">. As they age, </w:t>
      </w:r>
      <w:r w:rsidR="00196B1D">
        <w:rPr>
          <w:rFonts w:ascii="Times New Roman" w:hAnsi="Times New Roman" w:cs="Times New Roman"/>
          <w:sz w:val="24"/>
          <w:szCs w:val="24"/>
        </w:rPr>
        <w:t>individuals</w:t>
      </w:r>
      <w:r>
        <w:rPr>
          <w:rFonts w:ascii="Times New Roman" w:hAnsi="Times New Roman" w:cs="Times New Roman"/>
          <w:sz w:val="24"/>
          <w:szCs w:val="24"/>
        </w:rPr>
        <w:t xml:space="preserve"> affected </w:t>
      </w:r>
      <w:r w:rsidR="00196B1D">
        <w:rPr>
          <w:rFonts w:ascii="Times New Roman" w:hAnsi="Times New Roman" w:cs="Times New Roman"/>
          <w:sz w:val="24"/>
          <w:szCs w:val="24"/>
        </w:rPr>
        <w:t xml:space="preserve">by Down syndrome have a </w:t>
      </w:r>
      <w:r>
        <w:rPr>
          <w:rFonts w:ascii="Times New Roman" w:hAnsi="Times New Roman" w:cs="Times New Roman"/>
          <w:sz w:val="24"/>
          <w:szCs w:val="24"/>
        </w:rPr>
        <w:t xml:space="preserve">greatly increased risk of developing a type of dementia that’s either the same or very similar to Alzheimer’s disease. Autopsy studies show that </w:t>
      </w:r>
      <w:r w:rsidR="00196B1D">
        <w:rPr>
          <w:rFonts w:ascii="Times New Roman" w:hAnsi="Times New Roman" w:cs="Times New Roman"/>
          <w:sz w:val="24"/>
          <w:szCs w:val="24"/>
        </w:rPr>
        <w:t xml:space="preserve">by the age of 40, the brains of almost all individuals with Down syndrome have significant levels of beta-amyloid plaques ad tau tangles, abnormal protein deposits considered as hallmarks for Alzheimer’s disease (Kim et al. 2019). Despite the presence of these brain changes, not everyone with Down syndrome develops Alzheimer’s symptoms. It is in light of this new development that the study was conducted in an attempt to uncover a potent agent that can effectively be used in the management of the neurological changes that are seen in the brains of patients with Down syndrome and Alzheimer’s disease. </w:t>
      </w:r>
    </w:p>
    <w:p w:rsidR="00196B1D" w:rsidRPr="00196B1D" w:rsidRDefault="00196B1D" w:rsidP="00196B1D">
      <w:pPr>
        <w:spacing w:line="480" w:lineRule="auto"/>
        <w:rPr>
          <w:rFonts w:ascii="Times New Roman" w:hAnsi="Times New Roman" w:cs="Times New Roman"/>
          <w:b/>
          <w:sz w:val="24"/>
          <w:szCs w:val="24"/>
        </w:rPr>
      </w:pPr>
      <w:r w:rsidRPr="00244CAD">
        <w:rPr>
          <w:rFonts w:ascii="Times New Roman" w:hAnsi="Times New Roman" w:cs="Times New Roman"/>
          <w:b/>
          <w:sz w:val="24"/>
          <w:szCs w:val="24"/>
        </w:rPr>
        <w:t xml:space="preserve">Background Information </w:t>
      </w:r>
      <w:r w:rsidR="00810B01" w:rsidRPr="00244CAD">
        <w:rPr>
          <w:rFonts w:ascii="Times New Roman" w:hAnsi="Times New Roman" w:cs="Times New Roman"/>
          <w:b/>
          <w:sz w:val="24"/>
          <w:szCs w:val="24"/>
        </w:rPr>
        <w:t>of the Study</w:t>
      </w:r>
    </w:p>
    <w:p w:rsidR="006700AB" w:rsidRPr="007529BF" w:rsidRDefault="00DD5CDE"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This is a study that was conducted with the aim of providing additional evidence that tend to suggest that the chemical product CX-4945 is the most potent chemical regiment that could be used in the treatment of the neurological symptoms that are associated with diseases such as Do</w:t>
      </w:r>
      <w:r w:rsidR="00616012" w:rsidRPr="007529BF">
        <w:rPr>
          <w:rFonts w:ascii="Times New Roman" w:hAnsi="Times New Roman" w:cs="Times New Roman"/>
          <w:sz w:val="24"/>
          <w:szCs w:val="24"/>
        </w:rPr>
        <w:t>w</w:t>
      </w:r>
      <w:r w:rsidRPr="007529BF">
        <w:rPr>
          <w:rFonts w:ascii="Times New Roman" w:hAnsi="Times New Roman" w:cs="Times New Roman"/>
          <w:sz w:val="24"/>
          <w:szCs w:val="24"/>
        </w:rPr>
        <w:t xml:space="preserve">n </w:t>
      </w:r>
      <w:r w:rsidR="00616012" w:rsidRPr="007529BF">
        <w:rPr>
          <w:rFonts w:ascii="Times New Roman" w:hAnsi="Times New Roman" w:cs="Times New Roman"/>
          <w:sz w:val="24"/>
          <w:szCs w:val="24"/>
        </w:rPr>
        <w:t>syndrome</w:t>
      </w:r>
      <w:r w:rsidRPr="007529BF">
        <w:rPr>
          <w:rFonts w:ascii="Times New Roman" w:hAnsi="Times New Roman" w:cs="Times New Roman"/>
          <w:sz w:val="24"/>
          <w:szCs w:val="24"/>
        </w:rPr>
        <w:t xml:space="preserve"> and </w:t>
      </w:r>
      <w:r w:rsidR="00616012" w:rsidRPr="007529BF">
        <w:rPr>
          <w:rFonts w:ascii="Times New Roman" w:hAnsi="Times New Roman" w:cs="Times New Roman"/>
          <w:sz w:val="24"/>
          <w:szCs w:val="24"/>
        </w:rPr>
        <w:t>Alzheimer’s disease</w:t>
      </w:r>
      <w:r w:rsidR="00DA179C">
        <w:rPr>
          <w:rFonts w:ascii="Times New Roman" w:hAnsi="Times New Roman" w:cs="Times New Roman"/>
          <w:sz w:val="24"/>
          <w:szCs w:val="24"/>
        </w:rPr>
        <w:t xml:space="preserve"> (Kim et al. 2019)</w:t>
      </w:r>
      <w:r w:rsidRPr="007529BF">
        <w:rPr>
          <w:rFonts w:ascii="Times New Roman" w:hAnsi="Times New Roman" w:cs="Times New Roman"/>
          <w:sz w:val="24"/>
          <w:szCs w:val="24"/>
        </w:rPr>
        <w:t xml:space="preserve">. </w:t>
      </w:r>
      <w:r w:rsidR="006700AB" w:rsidRPr="007529BF">
        <w:rPr>
          <w:rFonts w:ascii="Times New Roman" w:hAnsi="Times New Roman" w:cs="Times New Roman"/>
          <w:sz w:val="24"/>
          <w:szCs w:val="24"/>
        </w:rPr>
        <w:t xml:space="preserve"> The application of this chemical agent in the treatment of these disease derive from its application as a potent</w:t>
      </w:r>
      <w:r w:rsidR="00751B43" w:rsidRPr="007529BF">
        <w:rPr>
          <w:rFonts w:ascii="Times New Roman" w:hAnsi="Times New Roman" w:cs="Times New Roman"/>
          <w:sz w:val="24"/>
          <w:szCs w:val="24"/>
        </w:rPr>
        <w:t xml:space="preserve"> inhibitor of CLKs (Cdc2-like Kinases) in which it has been shown that many small-molecules inhibitors of CLKs such as the TG-003, KH-CB19 and Leucettine L41 also inhibit DYRKs</w:t>
      </w:r>
      <w:r w:rsidR="00DA179C">
        <w:rPr>
          <w:rFonts w:ascii="Times New Roman" w:hAnsi="Times New Roman" w:cs="Times New Roman"/>
          <w:sz w:val="24"/>
          <w:szCs w:val="24"/>
        </w:rPr>
        <w:t xml:space="preserve"> (Kim et al. 2019)</w:t>
      </w:r>
      <w:r w:rsidR="00751B43" w:rsidRPr="007529BF">
        <w:rPr>
          <w:rFonts w:ascii="Times New Roman" w:hAnsi="Times New Roman" w:cs="Times New Roman"/>
          <w:sz w:val="24"/>
          <w:szCs w:val="24"/>
        </w:rPr>
        <w:t>. This then prompted the research question: Being a potent CLKs inhibitor is CX-4945 also an inhibitor of DYRK1As? If so</w:t>
      </w:r>
      <w:r w:rsidR="00680474" w:rsidRPr="007529BF">
        <w:rPr>
          <w:rFonts w:ascii="Times New Roman" w:hAnsi="Times New Roman" w:cs="Times New Roman"/>
          <w:sz w:val="24"/>
          <w:szCs w:val="24"/>
        </w:rPr>
        <w:t>,</w:t>
      </w:r>
      <w:r w:rsidR="00751B43" w:rsidRPr="007529BF">
        <w:rPr>
          <w:rFonts w:ascii="Times New Roman" w:hAnsi="Times New Roman" w:cs="Times New Roman"/>
          <w:sz w:val="24"/>
          <w:szCs w:val="24"/>
        </w:rPr>
        <w:t xml:space="preserve"> what </w:t>
      </w:r>
      <w:r w:rsidR="00680474" w:rsidRPr="007529BF">
        <w:rPr>
          <w:rFonts w:ascii="Times New Roman" w:hAnsi="Times New Roman" w:cs="Times New Roman"/>
          <w:sz w:val="24"/>
          <w:szCs w:val="24"/>
        </w:rPr>
        <w:t xml:space="preserve">is its </w:t>
      </w:r>
      <w:r w:rsidR="00751B43" w:rsidRPr="007529BF">
        <w:rPr>
          <w:rFonts w:ascii="Times New Roman" w:hAnsi="Times New Roman" w:cs="Times New Roman"/>
          <w:sz w:val="24"/>
          <w:szCs w:val="24"/>
        </w:rPr>
        <w:t>potency?</w:t>
      </w:r>
    </w:p>
    <w:p w:rsidR="00751B43" w:rsidRPr="001A1183" w:rsidRDefault="00751B43"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lastRenderedPageBreak/>
        <w:t>Problem Statement</w:t>
      </w:r>
    </w:p>
    <w:p w:rsidR="00751B43" w:rsidRPr="007529BF" w:rsidRDefault="006700AB"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 xml:space="preserve">The study was prompted by the fact that the evaluation of the most promising DYRK1A inhibitors that have </w:t>
      </w:r>
      <w:r w:rsidR="00DA179C">
        <w:rPr>
          <w:rFonts w:ascii="Times New Roman" w:hAnsi="Times New Roman" w:cs="Times New Roman"/>
          <w:sz w:val="24"/>
          <w:szCs w:val="24"/>
        </w:rPr>
        <w:t xml:space="preserve">been </w:t>
      </w:r>
      <w:r w:rsidRPr="007529BF">
        <w:rPr>
          <w:rFonts w:ascii="Times New Roman" w:hAnsi="Times New Roman" w:cs="Times New Roman"/>
          <w:sz w:val="24"/>
          <w:szCs w:val="24"/>
        </w:rPr>
        <w:t xml:space="preserve">developed up to date suggested that their therapeutic application might still be limited given their associated side effects. </w:t>
      </w:r>
    </w:p>
    <w:p w:rsidR="00751B43" w:rsidRPr="001A1183" w:rsidRDefault="00751B43"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Hypothesis</w:t>
      </w:r>
    </w:p>
    <w:p w:rsidR="00DA179C" w:rsidRDefault="00616012"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The ma</w:t>
      </w:r>
      <w:r w:rsidR="00F70DFC" w:rsidRPr="007529BF">
        <w:rPr>
          <w:rFonts w:ascii="Times New Roman" w:hAnsi="Times New Roman" w:cs="Times New Roman"/>
          <w:sz w:val="24"/>
          <w:szCs w:val="24"/>
        </w:rPr>
        <w:t xml:space="preserve">in hypothesis that the researchers set out to evaluate is that the chemical agent CX-4945 is a potent DYRH1A inhibitor and thus it has therapeutic potential for </w:t>
      </w:r>
      <w:r w:rsidR="00F95830" w:rsidRPr="007529BF">
        <w:rPr>
          <w:rFonts w:ascii="Times New Roman" w:hAnsi="Times New Roman" w:cs="Times New Roman"/>
          <w:sz w:val="24"/>
          <w:szCs w:val="24"/>
        </w:rPr>
        <w:t xml:space="preserve">(Dual-specificity tyrosine phosphorylation-regulated kinase 1A) </w:t>
      </w:r>
      <w:r w:rsidR="00F70DFC" w:rsidRPr="007529BF">
        <w:rPr>
          <w:rFonts w:ascii="Times New Roman" w:hAnsi="Times New Roman" w:cs="Times New Roman"/>
          <w:sz w:val="24"/>
          <w:szCs w:val="24"/>
        </w:rPr>
        <w:t>DYRK1A-associated diseases</w:t>
      </w:r>
      <w:r w:rsidR="00DA179C">
        <w:rPr>
          <w:rFonts w:ascii="Times New Roman" w:hAnsi="Times New Roman" w:cs="Times New Roman"/>
          <w:sz w:val="24"/>
          <w:szCs w:val="24"/>
        </w:rPr>
        <w:t xml:space="preserve"> (Kim et al. 2019)</w:t>
      </w:r>
      <w:r w:rsidR="00F70DFC" w:rsidRPr="007529BF">
        <w:rPr>
          <w:rFonts w:ascii="Times New Roman" w:hAnsi="Times New Roman" w:cs="Times New Roman"/>
          <w:sz w:val="24"/>
          <w:szCs w:val="24"/>
        </w:rPr>
        <w:t xml:space="preserve">. </w:t>
      </w:r>
    </w:p>
    <w:p w:rsidR="00616012" w:rsidRPr="007529BF" w:rsidRDefault="00F70DFC"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 xml:space="preserve">The observations from previous studies tend to suggest that the inhibition of this DYRK1A is the new strategy that could be exploited in trying to modify the diseases that are associated with overexpression and over-activity of this enzyme. </w:t>
      </w:r>
      <w:r w:rsidR="00F95830" w:rsidRPr="007529BF">
        <w:rPr>
          <w:rFonts w:ascii="Times New Roman" w:hAnsi="Times New Roman" w:cs="Times New Roman"/>
          <w:sz w:val="24"/>
          <w:szCs w:val="24"/>
        </w:rPr>
        <w:t>The discovery of the enzyme’s activity in the brains of patients suffering from Down syndrome highlighted the importance of DYRK1A in the pathogenesis of this disease</w:t>
      </w:r>
      <w:r w:rsidR="00DA179C">
        <w:rPr>
          <w:rFonts w:ascii="Times New Roman" w:hAnsi="Times New Roman" w:cs="Times New Roman"/>
          <w:sz w:val="24"/>
          <w:szCs w:val="24"/>
        </w:rPr>
        <w:t xml:space="preserve"> (Kim et al. 2019)</w:t>
      </w:r>
      <w:r w:rsidR="00F95830" w:rsidRPr="007529BF">
        <w:rPr>
          <w:rFonts w:ascii="Times New Roman" w:hAnsi="Times New Roman" w:cs="Times New Roman"/>
          <w:sz w:val="24"/>
          <w:szCs w:val="24"/>
        </w:rPr>
        <w:t xml:space="preserve">. </w:t>
      </w:r>
    </w:p>
    <w:p w:rsidR="00751B43" w:rsidRPr="001A1183" w:rsidRDefault="00751B43"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 xml:space="preserve">Research </w:t>
      </w:r>
      <w:r w:rsidR="00810B01" w:rsidRPr="001A1183">
        <w:rPr>
          <w:rFonts w:ascii="Times New Roman" w:hAnsi="Times New Roman" w:cs="Times New Roman"/>
          <w:b/>
          <w:sz w:val="24"/>
          <w:szCs w:val="24"/>
        </w:rPr>
        <w:t>Questions</w:t>
      </w:r>
    </w:p>
    <w:p w:rsidR="009F08A6" w:rsidRPr="007529BF" w:rsidRDefault="009F08A6"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The main questions that the researchers sought out to answer through this research are:</w:t>
      </w:r>
    </w:p>
    <w:p w:rsidR="00751B43" w:rsidRPr="007529BF" w:rsidRDefault="00751B43" w:rsidP="007529BF">
      <w:pPr>
        <w:pStyle w:val="ListParagraph"/>
        <w:numPr>
          <w:ilvl w:val="0"/>
          <w:numId w:val="1"/>
        </w:num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Being a potent CLKs inhibitor is CX-4945 also an inhibitor of DYRK1As?</w:t>
      </w:r>
    </w:p>
    <w:p w:rsidR="009F08A6" w:rsidRPr="007529BF" w:rsidRDefault="009F08A6" w:rsidP="007529BF">
      <w:pPr>
        <w:pStyle w:val="ListParagraph"/>
        <w:numPr>
          <w:ilvl w:val="0"/>
          <w:numId w:val="1"/>
        </w:num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 xml:space="preserve">Could CX-4945 be used in the management of </w:t>
      </w:r>
      <w:r w:rsidR="00751B43" w:rsidRPr="007529BF">
        <w:rPr>
          <w:rFonts w:ascii="Times New Roman" w:hAnsi="Times New Roman" w:cs="Times New Roman"/>
          <w:sz w:val="24"/>
          <w:szCs w:val="24"/>
        </w:rPr>
        <w:t xml:space="preserve">DYRK1As related </w:t>
      </w:r>
      <w:r w:rsidRPr="007529BF">
        <w:rPr>
          <w:rFonts w:ascii="Times New Roman" w:hAnsi="Times New Roman" w:cs="Times New Roman"/>
          <w:sz w:val="24"/>
          <w:szCs w:val="24"/>
        </w:rPr>
        <w:t>diseases such as Down syndrome or Alzheimer’s disease?</w:t>
      </w:r>
    </w:p>
    <w:p w:rsidR="009F08A6" w:rsidRPr="007529BF" w:rsidRDefault="009F08A6" w:rsidP="007529BF">
      <w:pPr>
        <w:pStyle w:val="ListParagraph"/>
        <w:numPr>
          <w:ilvl w:val="0"/>
          <w:numId w:val="1"/>
        </w:num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If yes, what is the mechanism of action of CX-4945 in the treatment of these diseases?</w:t>
      </w:r>
    </w:p>
    <w:p w:rsidR="009F08A6" w:rsidRPr="007529BF" w:rsidRDefault="009F08A6" w:rsidP="007529BF">
      <w:pPr>
        <w:pStyle w:val="ListParagraph"/>
        <w:numPr>
          <w:ilvl w:val="0"/>
          <w:numId w:val="1"/>
        </w:num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lastRenderedPageBreak/>
        <w:t>What is the potency of this agent in treating Down syndrome and Alzheimer’s disease?</w:t>
      </w:r>
    </w:p>
    <w:p w:rsidR="009F08A6" w:rsidRPr="007529BF" w:rsidRDefault="00751B43" w:rsidP="007529BF">
      <w:pPr>
        <w:pStyle w:val="ListParagraph"/>
        <w:numPr>
          <w:ilvl w:val="0"/>
          <w:numId w:val="1"/>
        </w:num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What is the potency of this new chemical as compared to the other DYRK1As inhibitor?</w:t>
      </w:r>
    </w:p>
    <w:p w:rsidR="00751B43" w:rsidRPr="001A1183" w:rsidRDefault="00751B43"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Materials and Methods</w:t>
      </w:r>
    </w:p>
    <w:p w:rsidR="004A38AF" w:rsidRPr="007529BF" w:rsidRDefault="00DD5CDE"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The research was conducted by way of testing whether this chemical agent CX-4945 al</w:t>
      </w:r>
      <w:r w:rsidR="00616012" w:rsidRPr="007529BF">
        <w:rPr>
          <w:rFonts w:ascii="Times New Roman" w:hAnsi="Times New Roman" w:cs="Times New Roman"/>
          <w:sz w:val="24"/>
          <w:szCs w:val="24"/>
        </w:rPr>
        <w:t xml:space="preserve">so had </w:t>
      </w:r>
      <w:r w:rsidRPr="007529BF">
        <w:rPr>
          <w:rFonts w:ascii="Times New Roman" w:hAnsi="Times New Roman" w:cs="Times New Roman"/>
          <w:sz w:val="24"/>
          <w:szCs w:val="24"/>
        </w:rPr>
        <w:t xml:space="preserve">inhibitory effects on the </w:t>
      </w:r>
      <w:r w:rsidR="00F70DFC" w:rsidRPr="007529BF">
        <w:rPr>
          <w:rFonts w:ascii="Times New Roman" w:hAnsi="Times New Roman" w:cs="Times New Roman"/>
          <w:sz w:val="24"/>
          <w:szCs w:val="24"/>
        </w:rPr>
        <w:t>Dual</w:t>
      </w:r>
      <w:r w:rsidR="00616012" w:rsidRPr="007529BF">
        <w:rPr>
          <w:rFonts w:ascii="Times New Roman" w:hAnsi="Times New Roman" w:cs="Times New Roman"/>
          <w:sz w:val="24"/>
          <w:szCs w:val="24"/>
        </w:rPr>
        <w:t>-specificity tyrosine phosphorylation-regulated kinase 1A</w:t>
      </w:r>
      <w:r w:rsidR="00F70DFC" w:rsidRPr="007529BF">
        <w:rPr>
          <w:rFonts w:ascii="Times New Roman" w:hAnsi="Times New Roman" w:cs="Times New Roman"/>
          <w:sz w:val="24"/>
          <w:szCs w:val="24"/>
        </w:rPr>
        <w:t xml:space="preserve"> </w:t>
      </w:r>
      <w:r w:rsidR="00DA179C">
        <w:rPr>
          <w:rFonts w:ascii="Times New Roman" w:hAnsi="Times New Roman" w:cs="Times New Roman"/>
          <w:sz w:val="24"/>
          <w:szCs w:val="24"/>
        </w:rPr>
        <w:t>(DYRK1A</w:t>
      </w:r>
      <w:r w:rsidRPr="007529BF">
        <w:rPr>
          <w:rFonts w:ascii="Times New Roman" w:hAnsi="Times New Roman" w:cs="Times New Roman"/>
          <w:sz w:val="24"/>
          <w:szCs w:val="24"/>
        </w:rPr>
        <w:t>)</w:t>
      </w:r>
      <w:r w:rsidR="00616012" w:rsidRPr="007529BF">
        <w:rPr>
          <w:rFonts w:ascii="Times New Roman" w:hAnsi="Times New Roman" w:cs="Times New Roman"/>
          <w:sz w:val="24"/>
          <w:szCs w:val="24"/>
        </w:rPr>
        <w:t>. This is the enzyme whose activity in the brain is correlated with the negative neurological symptoms that are associated with Down syndrome and Alzheimer’s disease among other neurodegenerative diseases</w:t>
      </w:r>
      <w:r w:rsidR="00DA179C">
        <w:rPr>
          <w:rFonts w:ascii="Times New Roman" w:hAnsi="Times New Roman" w:cs="Times New Roman"/>
          <w:sz w:val="24"/>
          <w:szCs w:val="24"/>
        </w:rPr>
        <w:t xml:space="preserve"> (Kim et al. 2019)</w:t>
      </w:r>
      <w:r w:rsidR="00616012" w:rsidRPr="007529BF">
        <w:rPr>
          <w:rFonts w:ascii="Times New Roman" w:hAnsi="Times New Roman" w:cs="Times New Roman"/>
          <w:sz w:val="24"/>
          <w:szCs w:val="24"/>
        </w:rPr>
        <w:t xml:space="preserve">. This research made use of </w:t>
      </w:r>
      <w:r w:rsidR="00616012" w:rsidRPr="007529BF">
        <w:rPr>
          <w:rFonts w:ascii="Times New Roman" w:hAnsi="Times New Roman" w:cs="Times New Roman"/>
          <w:i/>
          <w:sz w:val="24"/>
          <w:szCs w:val="24"/>
        </w:rPr>
        <w:t>in vitro</w:t>
      </w:r>
      <w:r w:rsidR="00616012" w:rsidRPr="007529BF">
        <w:rPr>
          <w:rFonts w:ascii="Times New Roman" w:hAnsi="Times New Roman" w:cs="Times New Roman"/>
          <w:sz w:val="24"/>
          <w:szCs w:val="24"/>
        </w:rPr>
        <w:t xml:space="preserve"> kinase assays with human recombinant kinases and a synthetic peptide substrate</w:t>
      </w:r>
      <w:r w:rsidR="00DA179C">
        <w:rPr>
          <w:rFonts w:ascii="Times New Roman" w:hAnsi="Times New Roman" w:cs="Times New Roman"/>
          <w:sz w:val="24"/>
          <w:szCs w:val="24"/>
        </w:rPr>
        <w:t xml:space="preserve"> (Kim et al. 2019)</w:t>
      </w:r>
      <w:r w:rsidR="006700AB" w:rsidRPr="007529BF">
        <w:rPr>
          <w:rFonts w:ascii="Times New Roman" w:hAnsi="Times New Roman" w:cs="Times New Roman"/>
          <w:sz w:val="24"/>
          <w:szCs w:val="24"/>
        </w:rPr>
        <w:t xml:space="preserve">. The study also made use of Drosophila models, mammalian cells and even living organisms (Mice) in their experiments to determine the effectiveness, mechanism of action and potency of CX-4945. </w:t>
      </w:r>
      <w:r w:rsidR="00D87C22" w:rsidRPr="007529BF">
        <w:rPr>
          <w:rFonts w:ascii="Times New Roman" w:hAnsi="Times New Roman" w:cs="Times New Roman"/>
          <w:sz w:val="24"/>
          <w:szCs w:val="24"/>
        </w:rPr>
        <w:t>Molecular docking studies using the CDOCKER program in Discovery Studio software were used in an attempt to provide a deeper understanding of the interaction between CX-4945 and DYRK1A at the molecular level</w:t>
      </w:r>
      <w:r w:rsidR="00D007C8">
        <w:rPr>
          <w:rFonts w:ascii="Times New Roman" w:hAnsi="Times New Roman" w:cs="Times New Roman"/>
          <w:sz w:val="24"/>
          <w:szCs w:val="24"/>
        </w:rPr>
        <w:t xml:space="preserve"> (Kim et al. 2019)</w:t>
      </w:r>
      <w:r w:rsidR="00D87C22" w:rsidRPr="007529BF">
        <w:rPr>
          <w:rFonts w:ascii="Times New Roman" w:hAnsi="Times New Roman" w:cs="Times New Roman"/>
          <w:sz w:val="24"/>
          <w:szCs w:val="24"/>
        </w:rPr>
        <w:t xml:space="preserve">. </w:t>
      </w:r>
      <w:r w:rsidR="00CA10AA" w:rsidRPr="007529BF">
        <w:rPr>
          <w:rFonts w:ascii="Times New Roman" w:hAnsi="Times New Roman" w:cs="Times New Roman"/>
          <w:sz w:val="24"/>
          <w:szCs w:val="24"/>
        </w:rPr>
        <w:t>The data gathered and</w:t>
      </w:r>
      <w:r w:rsidR="0063324A" w:rsidRPr="007529BF">
        <w:rPr>
          <w:rFonts w:ascii="Times New Roman" w:hAnsi="Times New Roman" w:cs="Times New Roman"/>
          <w:sz w:val="24"/>
          <w:szCs w:val="24"/>
        </w:rPr>
        <w:t xml:space="preserve"> analyzed was presented in graphs </w:t>
      </w:r>
      <w:r w:rsidR="00CA10AA" w:rsidRPr="007529BF">
        <w:rPr>
          <w:rFonts w:ascii="Times New Roman" w:hAnsi="Times New Roman" w:cs="Times New Roman"/>
          <w:sz w:val="24"/>
          <w:szCs w:val="24"/>
        </w:rPr>
        <w:t>and charts with application of 2D and 3D images to display the</w:t>
      </w:r>
      <w:r w:rsidR="0063324A" w:rsidRPr="007529BF">
        <w:rPr>
          <w:rFonts w:ascii="Times New Roman" w:hAnsi="Times New Roman" w:cs="Times New Roman"/>
          <w:sz w:val="24"/>
          <w:szCs w:val="24"/>
        </w:rPr>
        <w:t xml:space="preserve"> molecular structures</w:t>
      </w:r>
      <w:r w:rsidR="00CA10AA" w:rsidRPr="007529BF">
        <w:rPr>
          <w:rFonts w:ascii="Times New Roman" w:hAnsi="Times New Roman" w:cs="Times New Roman"/>
          <w:sz w:val="24"/>
          <w:szCs w:val="24"/>
        </w:rPr>
        <w:t xml:space="preserve"> of the chemical agent and its interaction with DYRK1A at the molecular level</w:t>
      </w:r>
      <w:r w:rsidR="0063324A" w:rsidRPr="007529BF">
        <w:rPr>
          <w:rFonts w:ascii="Times New Roman" w:hAnsi="Times New Roman" w:cs="Times New Roman"/>
          <w:sz w:val="24"/>
          <w:szCs w:val="24"/>
        </w:rPr>
        <w:t xml:space="preserve">.  </w:t>
      </w:r>
    </w:p>
    <w:p w:rsidR="00CA10AA" w:rsidRPr="001A1183" w:rsidRDefault="00CA10AA"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 xml:space="preserve">Testing </w:t>
      </w:r>
      <w:r w:rsidR="00810B01" w:rsidRPr="001A1183">
        <w:rPr>
          <w:rFonts w:ascii="Times New Roman" w:hAnsi="Times New Roman" w:cs="Times New Roman"/>
          <w:b/>
          <w:sz w:val="24"/>
          <w:szCs w:val="24"/>
        </w:rPr>
        <w:t>the Hypothesis</w:t>
      </w:r>
    </w:p>
    <w:p w:rsidR="00CA10AA" w:rsidRPr="007529BF" w:rsidRDefault="00CA10AA"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 xml:space="preserve">To test their hypothesis, the researchers employed the use of two-tailed paired or unpaired student’s t-tests as the statistical test that was used to generate a lot more statistical power for their evidence to warrant the adoption of the hypothesis. However, the procedure of </w:t>
      </w:r>
      <w:r w:rsidRPr="007529BF">
        <w:rPr>
          <w:rFonts w:ascii="Times New Roman" w:hAnsi="Times New Roman" w:cs="Times New Roman"/>
          <w:sz w:val="24"/>
          <w:szCs w:val="24"/>
        </w:rPr>
        <w:lastRenderedPageBreak/>
        <w:t xml:space="preserve">how this was conducted and demonstrations of how the </w:t>
      </w:r>
      <w:r w:rsidR="00D007C8">
        <w:rPr>
          <w:rFonts w:ascii="Times New Roman" w:hAnsi="Times New Roman" w:cs="Times New Roman"/>
          <w:sz w:val="24"/>
          <w:szCs w:val="24"/>
        </w:rPr>
        <w:t>test was done</w:t>
      </w:r>
      <w:r w:rsidRPr="007529BF">
        <w:rPr>
          <w:rFonts w:ascii="Times New Roman" w:hAnsi="Times New Roman" w:cs="Times New Roman"/>
          <w:sz w:val="24"/>
          <w:szCs w:val="24"/>
        </w:rPr>
        <w:t xml:space="preserve"> was not included in the report.</w:t>
      </w:r>
    </w:p>
    <w:p w:rsidR="00751B43" w:rsidRPr="001A1183" w:rsidRDefault="00751B43"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Results</w:t>
      </w:r>
      <w:r w:rsidR="00CA10AA" w:rsidRPr="001A1183">
        <w:rPr>
          <w:rFonts w:ascii="Times New Roman" w:hAnsi="Times New Roman" w:cs="Times New Roman"/>
          <w:b/>
          <w:sz w:val="24"/>
          <w:szCs w:val="24"/>
        </w:rPr>
        <w:t xml:space="preserve"> </w:t>
      </w:r>
      <w:r w:rsidR="00810B01" w:rsidRPr="001A1183">
        <w:rPr>
          <w:rFonts w:ascii="Times New Roman" w:hAnsi="Times New Roman" w:cs="Times New Roman"/>
          <w:b/>
          <w:sz w:val="24"/>
          <w:szCs w:val="24"/>
        </w:rPr>
        <w:t>and Major Conclusion</w:t>
      </w:r>
    </w:p>
    <w:p w:rsidR="00F70DFC" w:rsidRPr="007529BF" w:rsidRDefault="00F70DFC"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The main finding from this research was that the newly identified CX4945 is a potent inhibitor of DYRK1A that acts in an ATP-competitive manner</w:t>
      </w:r>
      <w:r w:rsidR="00D007C8">
        <w:rPr>
          <w:rFonts w:ascii="Times New Roman" w:hAnsi="Times New Roman" w:cs="Times New Roman"/>
          <w:sz w:val="24"/>
          <w:szCs w:val="24"/>
        </w:rPr>
        <w:t xml:space="preserve"> (Kim et al. 2019)</w:t>
      </w:r>
      <w:r w:rsidRPr="007529BF">
        <w:rPr>
          <w:rFonts w:ascii="Times New Roman" w:hAnsi="Times New Roman" w:cs="Times New Roman"/>
          <w:sz w:val="24"/>
          <w:szCs w:val="24"/>
        </w:rPr>
        <w:t xml:space="preserve">. </w:t>
      </w:r>
      <w:r w:rsidR="00751B43" w:rsidRPr="007529BF">
        <w:rPr>
          <w:rFonts w:ascii="Times New Roman" w:hAnsi="Times New Roman" w:cs="Times New Roman"/>
          <w:sz w:val="24"/>
          <w:szCs w:val="24"/>
        </w:rPr>
        <w:t xml:space="preserve">It potently inhibits the activity of all DYRK-family proteins. </w:t>
      </w:r>
      <w:r w:rsidRPr="007529BF">
        <w:rPr>
          <w:rFonts w:ascii="Times New Roman" w:hAnsi="Times New Roman" w:cs="Times New Roman"/>
          <w:sz w:val="24"/>
          <w:szCs w:val="24"/>
        </w:rPr>
        <w:t xml:space="preserve">The researcher discovered that the inhibitory potency of CX-4945 </w:t>
      </w:r>
      <w:r w:rsidRPr="007529BF">
        <w:rPr>
          <w:rFonts w:ascii="Times New Roman" w:hAnsi="Times New Roman" w:cs="Times New Roman"/>
          <w:i/>
          <w:sz w:val="24"/>
          <w:szCs w:val="24"/>
        </w:rPr>
        <w:t>in vitro</w:t>
      </w:r>
      <w:r w:rsidRPr="007529BF">
        <w:rPr>
          <w:rFonts w:ascii="Times New Roman" w:hAnsi="Times New Roman" w:cs="Times New Roman"/>
          <w:sz w:val="24"/>
          <w:szCs w:val="24"/>
        </w:rPr>
        <w:t xml:space="preserve"> was higher than that of the other DYRK1A inhibitors such as harmine, INDY or proINDY</w:t>
      </w:r>
      <w:r w:rsidR="00D87C22" w:rsidRPr="007529BF">
        <w:rPr>
          <w:rFonts w:ascii="Times New Roman" w:hAnsi="Times New Roman" w:cs="Times New Roman"/>
          <w:sz w:val="24"/>
          <w:szCs w:val="24"/>
        </w:rPr>
        <w:t>, in fact registering twice as higher potency as that registered for harmine, a potent DYRK inhibitor</w:t>
      </w:r>
      <w:r w:rsidR="00D007C8">
        <w:rPr>
          <w:rFonts w:ascii="Times New Roman" w:hAnsi="Times New Roman" w:cs="Times New Roman"/>
          <w:sz w:val="24"/>
          <w:szCs w:val="24"/>
        </w:rPr>
        <w:t xml:space="preserve"> (Kim et al. 2019)</w:t>
      </w:r>
      <w:r w:rsidRPr="007529BF">
        <w:rPr>
          <w:rFonts w:ascii="Times New Roman" w:hAnsi="Times New Roman" w:cs="Times New Roman"/>
          <w:sz w:val="24"/>
          <w:szCs w:val="24"/>
        </w:rPr>
        <w:t xml:space="preserve">. </w:t>
      </w:r>
      <w:r w:rsidR="00D87C22" w:rsidRPr="007529BF">
        <w:rPr>
          <w:rFonts w:ascii="Times New Roman" w:hAnsi="Times New Roman" w:cs="Times New Roman"/>
          <w:sz w:val="24"/>
          <w:szCs w:val="24"/>
        </w:rPr>
        <w:t>The new chemical agent’s potency was registered at IC</w:t>
      </w:r>
      <w:r w:rsidR="00D87C22" w:rsidRPr="007529BF">
        <w:rPr>
          <w:rFonts w:ascii="Times New Roman" w:hAnsi="Times New Roman" w:cs="Times New Roman"/>
          <w:sz w:val="24"/>
          <w:szCs w:val="24"/>
          <w:vertAlign w:val="subscript"/>
        </w:rPr>
        <w:t>50</w:t>
      </w:r>
      <w:r w:rsidR="00D87C22" w:rsidRPr="007529BF">
        <w:rPr>
          <w:rFonts w:ascii="Times New Roman" w:hAnsi="Times New Roman" w:cs="Times New Roman"/>
          <w:sz w:val="24"/>
          <w:szCs w:val="24"/>
        </w:rPr>
        <w:t>=6.8, 6.4, 18 and 1500 nM for DYRK1A, DYRK1B, DYRK3 and DYRK4 respectively.</w:t>
      </w:r>
      <w:r w:rsidR="00D826CC" w:rsidRPr="007529BF">
        <w:rPr>
          <w:rFonts w:ascii="Times New Roman" w:hAnsi="Times New Roman" w:cs="Times New Roman"/>
          <w:sz w:val="24"/>
          <w:szCs w:val="24"/>
        </w:rPr>
        <w:t xml:space="preserve"> </w:t>
      </w:r>
      <w:r w:rsidR="00D87C22" w:rsidRPr="007529BF">
        <w:rPr>
          <w:rFonts w:ascii="Times New Roman" w:hAnsi="Times New Roman" w:cs="Times New Roman"/>
          <w:sz w:val="24"/>
          <w:szCs w:val="24"/>
        </w:rPr>
        <w:t>It was deduced that CX-4945 strongly inhibited DYRK1A and DYRK1B</w:t>
      </w:r>
      <w:r w:rsidR="00D826CC" w:rsidRPr="007529BF">
        <w:rPr>
          <w:rFonts w:ascii="Times New Roman" w:hAnsi="Times New Roman" w:cs="Times New Roman"/>
          <w:sz w:val="24"/>
          <w:szCs w:val="24"/>
        </w:rPr>
        <w:t xml:space="preserve"> </w:t>
      </w:r>
      <w:r w:rsidR="00CA10AA" w:rsidRPr="007529BF">
        <w:rPr>
          <w:rFonts w:ascii="Times New Roman" w:hAnsi="Times New Roman" w:cs="Times New Roman"/>
          <w:sz w:val="24"/>
          <w:szCs w:val="24"/>
        </w:rPr>
        <w:t>with subsequent studies majoring on</w:t>
      </w:r>
      <w:r w:rsidR="00D826CC" w:rsidRPr="007529BF">
        <w:rPr>
          <w:rFonts w:ascii="Times New Roman" w:hAnsi="Times New Roman" w:cs="Times New Roman"/>
          <w:sz w:val="24"/>
          <w:szCs w:val="24"/>
        </w:rPr>
        <w:t xml:space="preserve"> the chemical agent’s activity on DYRK1A. </w:t>
      </w:r>
      <w:r w:rsidRPr="007529BF">
        <w:rPr>
          <w:rFonts w:ascii="Times New Roman" w:hAnsi="Times New Roman" w:cs="Times New Roman"/>
          <w:sz w:val="24"/>
          <w:szCs w:val="24"/>
        </w:rPr>
        <w:t>The mechanism of action of t</w:t>
      </w:r>
      <w:r w:rsidR="00F95830" w:rsidRPr="007529BF">
        <w:rPr>
          <w:rFonts w:ascii="Times New Roman" w:hAnsi="Times New Roman" w:cs="Times New Roman"/>
          <w:sz w:val="24"/>
          <w:szCs w:val="24"/>
        </w:rPr>
        <w:t>his agent was deduced to compris</w:t>
      </w:r>
      <w:r w:rsidRPr="007529BF">
        <w:rPr>
          <w:rFonts w:ascii="Times New Roman" w:hAnsi="Times New Roman" w:cs="Times New Roman"/>
          <w:sz w:val="24"/>
          <w:szCs w:val="24"/>
        </w:rPr>
        <w:t xml:space="preserve">e of the </w:t>
      </w:r>
      <w:r w:rsidR="00F95830" w:rsidRPr="007529BF">
        <w:rPr>
          <w:rFonts w:ascii="Times New Roman" w:hAnsi="Times New Roman" w:cs="Times New Roman"/>
          <w:sz w:val="24"/>
          <w:szCs w:val="24"/>
        </w:rPr>
        <w:t xml:space="preserve">inhibition of the DYRK1A which subsequently effectively reversed the aberrant phosphorylation of Tau, amyloid precursor protein (APP) and presenilin 1 (PS1) in mammalian cells. </w:t>
      </w:r>
      <w:r w:rsidR="00390516" w:rsidRPr="007529BF">
        <w:rPr>
          <w:rFonts w:ascii="Times New Roman" w:hAnsi="Times New Roman" w:cs="Times New Roman"/>
          <w:sz w:val="24"/>
          <w:szCs w:val="24"/>
        </w:rPr>
        <w:t xml:space="preserve">It was observed that introducing the CX-4945 orally helped to significantly restore the neurological and phenotypic defects that had been induced by the overexpression of </w:t>
      </w:r>
      <w:r w:rsidR="00390516" w:rsidRPr="007529BF">
        <w:rPr>
          <w:rFonts w:ascii="Times New Roman" w:hAnsi="Times New Roman" w:cs="Times New Roman"/>
          <w:i/>
          <w:sz w:val="24"/>
          <w:szCs w:val="24"/>
        </w:rPr>
        <w:t>minibrain</w:t>
      </w:r>
      <w:r w:rsidR="00390516" w:rsidRPr="007529BF">
        <w:rPr>
          <w:rFonts w:ascii="Times New Roman" w:hAnsi="Times New Roman" w:cs="Times New Roman"/>
          <w:sz w:val="24"/>
          <w:szCs w:val="24"/>
        </w:rPr>
        <w:t>, an orthologue of the human DYRK1A, in the Drosophila model in addition to accurately suppressing Tau hyper</w:t>
      </w:r>
      <w:r w:rsidR="00390516">
        <w:rPr>
          <w:rFonts w:ascii="Times New Roman" w:hAnsi="Times New Roman" w:cs="Times New Roman"/>
          <w:sz w:val="24"/>
          <w:szCs w:val="24"/>
        </w:rPr>
        <w:t>-</w:t>
      </w:r>
      <w:r w:rsidR="00390516" w:rsidRPr="007529BF">
        <w:rPr>
          <w:rFonts w:ascii="Times New Roman" w:hAnsi="Times New Roman" w:cs="Times New Roman"/>
          <w:sz w:val="24"/>
          <w:szCs w:val="24"/>
        </w:rPr>
        <w:t xml:space="preserve">phosphorylation in the hippocampus of DYRK1A-overexpressing mice. </w:t>
      </w:r>
      <w:r w:rsidR="00F95830" w:rsidRPr="007529BF">
        <w:rPr>
          <w:rFonts w:ascii="Times New Roman" w:hAnsi="Times New Roman" w:cs="Times New Roman"/>
          <w:sz w:val="24"/>
          <w:szCs w:val="24"/>
        </w:rPr>
        <w:t>The researchers concluded that the results demonstrate that CX-4945 is a potent DYRK1A inhibitor and also made the suggestion that it has specific therapeutic potential for DYRK1A-associated diseases</w:t>
      </w:r>
      <w:r w:rsidR="00D007C8">
        <w:rPr>
          <w:rFonts w:ascii="Times New Roman" w:hAnsi="Times New Roman" w:cs="Times New Roman"/>
          <w:sz w:val="24"/>
          <w:szCs w:val="24"/>
        </w:rPr>
        <w:t xml:space="preserve"> (Kim et al. 2019)</w:t>
      </w:r>
      <w:r w:rsidR="00F95830" w:rsidRPr="007529BF">
        <w:rPr>
          <w:rFonts w:ascii="Times New Roman" w:hAnsi="Times New Roman" w:cs="Times New Roman"/>
          <w:sz w:val="24"/>
          <w:szCs w:val="24"/>
        </w:rPr>
        <w:t xml:space="preserve">. </w:t>
      </w:r>
    </w:p>
    <w:p w:rsidR="00CA10AA" w:rsidRPr="001A1183" w:rsidRDefault="00CA10AA"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 xml:space="preserve">Reliability </w:t>
      </w:r>
      <w:r w:rsidR="00810B01" w:rsidRPr="001A1183">
        <w:rPr>
          <w:rFonts w:ascii="Times New Roman" w:hAnsi="Times New Roman" w:cs="Times New Roman"/>
          <w:b/>
          <w:sz w:val="24"/>
          <w:szCs w:val="24"/>
        </w:rPr>
        <w:t>of the Results</w:t>
      </w:r>
    </w:p>
    <w:p w:rsidR="00680474" w:rsidRPr="007529BF" w:rsidRDefault="00680474"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lastRenderedPageBreak/>
        <w:t xml:space="preserve">The results presented through this research appear reliable. They have been acquired by the use of actual experiments that were conducted by the researchers on </w:t>
      </w:r>
      <w:r w:rsidR="00D007C8" w:rsidRPr="00D007C8">
        <w:rPr>
          <w:rFonts w:ascii="Times New Roman" w:hAnsi="Times New Roman" w:cs="Times New Roman"/>
          <w:i/>
          <w:sz w:val="24"/>
          <w:szCs w:val="24"/>
        </w:rPr>
        <w:t>in vitro</w:t>
      </w:r>
      <w:r w:rsidR="00D007C8">
        <w:rPr>
          <w:rFonts w:ascii="Times New Roman" w:hAnsi="Times New Roman" w:cs="Times New Roman"/>
          <w:sz w:val="24"/>
          <w:szCs w:val="24"/>
        </w:rPr>
        <w:t xml:space="preserve"> kinase assay</w:t>
      </w:r>
      <w:r w:rsidRPr="007529BF">
        <w:rPr>
          <w:rFonts w:ascii="Times New Roman" w:hAnsi="Times New Roman" w:cs="Times New Roman"/>
          <w:sz w:val="24"/>
          <w:szCs w:val="24"/>
        </w:rPr>
        <w:t xml:space="preserve"> analysis, by use of Drosophila models, mammalian cells and </w:t>
      </w:r>
      <w:r w:rsidR="00D007C8">
        <w:rPr>
          <w:rFonts w:ascii="Times New Roman" w:hAnsi="Times New Roman" w:cs="Times New Roman"/>
          <w:sz w:val="24"/>
          <w:szCs w:val="24"/>
        </w:rPr>
        <w:t>experimental animals</w:t>
      </w:r>
      <w:r w:rsidRPr="007529BF">
        <w:rPr>
          <w:rFonts w:ascii="Times New Roman" w:hAnsi="Times New Roman" w:cs="Times New Roman"/>
          <w:sz w:val="24"/>
          <w:szCs w:val="24"/>
        </w:rPr>
        <w:t xml:space="preserve"> </w:t>
      </w:r>
      <w:r w:rsidR="00D007C8">
        <w:rPr>
          <w:rFonts w:ascii="Times New Roman" w:hAnsi="Times New Roman" w:cs="Times New Roman"/>
          <w:sz w:val="24"/>
          <w:szCs w:val="24"/>
        </w:rPr>
        <w:t>(</w:t>
      </w:r>
      <w:r w:rsidRPr="007529BF">
        <w:rPr>
          <w:rFonts w:ascii="Times New Roman" w:hAnsi="Times New Roman" w:cs="Times New Roman"/>
          <w:sz w:val="24"/>
          <w:szCs w:val="24"/>
        </w:rPr>
        <w:t>mice</w:t>
      </w:r>
      <w:r w:rsidR="00D007C8">
        <w:rPr>
          <w:rFonts w:ascii="Times New Roman" w:hAnsi="Times New Roman" w:cs="Times New Roman"/>
          <w:sz w:val="24"/>
          <w:szCs w:val="24"/>
        </w:rPr>
        <w:t>)</w:t>
      </w:r>
      <w:r w:rsidRPr="007529BF">
        <w:rPr>
          <w:rFonts w:ascii="Times New Roman" w:hAnsi="Times New Roman" w:cs="Times New Roman"/>
          <w:sz w:val="24"/>
          <w:szCs w:val="24"/>
        </w:rPr>
        <w:t>. The researchers employed molecular studies to go into the tiny bit of the interaction between this chemical agent and its target and hence provided information that draws on a foundation of evidences that can support the claim rendering the results a lot more reliable. These results indicate an inclination towards the adoption of the alternative hypothesis that the researchers had formulated. Through their experiments and the analysis of data collected, the researchers were able to adequately answer their research questions and generate enough statistical power for their evidence through the two-paired student’s t-test statistical tool to accept their alternative hypothesis that CX-4945 is indeed an a lot more potent inhibitor of DYRK1A with potential therapeutic applications in the management of DYRK-associated diseases such as down syndrome and Alzheimer’s disease.</w:t>
      </w:r>
    </w:p>
    <w:p w:rsidR="0063324A" w:rsidRPr="001A1183" w:rsidRDefault="001E4407"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 xml:space="preserve">Strengths </w:t>
      </w:r>
      <w:r w:rsidR="00810B01" w:rsidRPr="001A1183">
        <w:rPr>
          <w:rFonts w:ascii="Times New Roman" w:hAnsi="Times New Roman" w:cs="Times New Roman"/>
          <w:b/>
          <w:sz w:val="24"/>
          <w:szCs w:val="24"/>
        </w:rPr>
        <w:t>of the Study</w:t>
      </w:r>
    </w:p>
    <w:p w:rsidR="001E4407" w:rsidRPr="007529BF" w:rsidRDefault="0063324A"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 xml:space="preserve">The researchers succeeded in conducting extensive background check on the topic that they were researching on. They have provided a clear and elaborated introduction and additional literature review scattered throughout the report that tend to provide additional and useful information on the topic making it easy to understand the main ideas of the research.  </w:t>
      </w:r>
      <w:r w:rsidR="001E4407" w:rsidRPr="007529BF">
        <w:rPr>
          <w:rFonts w:ascii="Times New Roman" w:hAnsi="Times New Roman" w:cs="Times New Roman"/>
          <w:sz w:val="24"/>
          <w:szCs w:val="24"/>
        </w:rPr>
        <w:t xml:space="preserve">The purpose of the study was clearly identified early into the report. </w:t>
      </w:r>
      <w:r w:rsidRPr="007529BF">
        <w:rPr>
          <w:rFonts w:ascii="Times New Roman" w:hAnsi="Times New Roman" w:cs="Times New Roman"/>
          <w:sz w:val="24"/>
          <w:szCs w:val="24"/>
        </w:rPr>
        <w:t xml:space="preserve">The researchers made adequate use of graphs and charts in the presentation of their findings and 2D and 3D representation of the molecular structure of the chemical agent and its interaction with the other chemical agents. These data presentation tools were easy to </w:t>
      </w:r>
      <w:r w:rsidR="001E4407" w:rsidRPr="007529BF">
        <w:rPr>
          <w:rFonts w:ascii="Times New Roman" w:hAnsi="Times New Roman" w:cs="Times New Roman"/>
          <w:sz w:val="24"/>
          <w:szCs w:val="24"/>
        </w:rPr>
        <w:t xml:space="preserve">interpret as they were accompanied by adequate description in addition to being well created. </w:t>
      </w:r>
    </w:p>
    <w:p w:rsidR="0063324A" w:rsidRPr="001A1183" w:rsidRDefault="001E4407"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lastRenderedPageBreak/>
        <w:t xml:space="preserve">Weaknesses </w:t>
      </w:r>
      <w:r w:rsidR="002C382D" w:rsidRPr="001A1183">
        <w:rPr>
          <w:rFonts w:ascii="Times New Roman" w:hAnsi="Times New Roman" w:cs="Times New Roman"/>
          <w:b/>
          <w:sz w:val="24"/>
          <w:szCs w:val="24"/>
        </w:rPr>
        <w:t>of</w:t>
      </w:r>
      <w:r w:rsidR="00810B01" w:rsidRPr="001A1183">
        <w:rPr>
          <w:rFonts w:ascii="Times New Roman" w:hAnsi="Times New Roman" w:cs="Times New Roman"/>
          <w:b/>
          <w:sz w:val="24"/>
          <w:szCs w:val="24"/>
        </w:rPr>
        <w:t xml:space="preserve"> </w:t>
      </w:r>
      <w:r w:rsidR="002C382D" w:rsidRPr="001A1183">
        <w:rPr>
          <w:rFonts w:ascii="Times New Roman" w:hAnsi="Times New Roman" w:cs="Times New Roman"/>
          <w:b/>
          <w:sz w:val="24"/>
          <w:szCs w:val="24"/>
        </w:rPr>
        <w:t>the</w:t>
      </w:r>
      <w:r w:rsidR="00810B01" w:rsidRPr="001A1183">
        <w:rPr>
          <w:rFonts w:ascii="Times New Roman" w:hAnsi="Times New Roman" w:cs="Times New Roman"/>
          <w:b/>
          <w:sz w:val="24"/>
          <w:szCs w:val="24"/>
        </w:rPr>
        <w:t xml:space="preserve"> Study </w:t>
      </w:r>
    </w:p>
    <w:p w:rsidR="0063324A" w:rsidRPr="007529BF" w:rsidRDefault="0063324A" w:rsidP="007529BF">
      <w:pPr>
        <w:spacing w:line="480" w:lineRule="auto"/>
        <w:ind w:firstLine="720"/>
        <w:rPr>
          <w:rFonts w:ascii="Times New Roman" w:hAnsi="Times New Roman" w:cs="Times New Roman"/>
          <w:sz w:val="24"/>
          <w:szCs w:val="24"/>
        </w:rPr>
      </w:pPr>
      <w:r w:rsidRPr="007529BF">
        <w:rPr>
          <w:rFonts w:ascii="Times New Roman" w:hAnsi="Times New Roman" w:cs="Times New Roman"/>
          <w:sz w:val="24"/>
          <w:szCs w:val="24"/>
        </w:rPr>
        <w:t xml:space="preserve">The researchers failed to state their objective, research questions and hypothesis clearly and this makes it hard for the reader to understand clearly and early in the report what the study is dedicated to unveil. The materials and methods sections of this research is not well elaborated and the procedures and optimum conditions used in running the enzyme models are not indicated making it very hard for other researchers to replicate the study in an attempt to test the hypothesis as way conducted in this research. </w:t>
      </w:r>
      <w:r w:rsidR="001E4407" w:rsidRPr="007529BF">
        <w:rPr>
          <w:rFonts w:ascii="Times New Roman" w:hAnsi="Times New Roman" w:cs="Times New Roman"/>
          <w:sz w:val="24"/>
          <w:szCs w:val="24"/>
        </w:rPr>
        <w:t xml:space="preserve">The statistical test used in testing the hypothesis was clearly described and the procedure in its use not clearly identified. The demonstration of the statistical test in use to reject or accept the hypothesis was not provided and aside from the general conclusions that were drawn from the results, no mention of whether the researchers accepted or reject their alternative hypothesis was made. </w:t>
      </w:r>
    </w:p>
    <w:p w:rsidR="001E4407" w:rsidRPr="001A1183" w:rsidRDefault="001E4407" w:rsidP="001A1183">
      <w:pPr>
        <w:spacing w:line="480" w:lineRule="auto"/>
        <w:rPr>
          <w:rFonts w:ascii="Times New Roman" w:hAnsi="Times New Roman" w:cs="Times New Roman"/>
          <w:b/>
          <w:sz w:val="24"/>
          <w:szCs w:val="24"/>
        </w:rPr>
      </w:pPr>
      <w:r w:rsidRPr="001A1183">
        <w:rPr>
          <w:rFonts w:ascii="Times New Roman" w:hAnsi="Times New Roman" w:cs="Times New Roman"/>
          <w:b/>
          <w:sz w:val="24"/>
          <w:szCs w:val="24"/>
        </w:rPr>
        <w:t xml:space="preserve">Suggestion </w:t>
      </w:r>
      <w:r w:rsidR="00810B01" w:rsidRPr="001A1183">
        <w:rPr>
          <w:rFonts w:ascii="Times New Roman" w:hAnsi="Times New Roman" w:cs="Times New Roman"/>
          <w:b/>
          <w:sz w:val="24"/>
          <w:szCs w:val="24"/>
        </w:rPr>
        <w:t>for Future Experiments</w:t>
      </w:r>
    </w:p>
    <w:p w:rsidR="00810B01" w:rsidRDefault="000F7EDA" w:rsidP="00810B0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future researches in this same topic should c</w:t>
      </w:r>
      <w:r w:rsidR="001E4407" w:rsidRPr="000F7EDA">
        <w:rPr>
          <w:rFonts w:ascii="Times New Roman" w:hAnsi="Times New Roman" w:cs="Times New Roman"/>
          <w:sz w:val="24"/>
          <w:szCs w:val="24"/>
        </w:rPr>
        <w:t>learly state their hypothesis, objective</w:t>
      </w:r>
      <w:r>
        <w:rPr>
          <w:rFonts w:ascii="Times New Roman" w:hAnsi="Times New Roman" w:cs="Times New Roman"/>
          <w:sz w:val="24"/>
          <w:szCs w:val="24"/>
        </w:rPr>
        <w:t>, and research questions, and consider creating</w:t>
      </w:r>
      <w:r w:rsidR="001E4407" w:rsidRPr="000F7EDA">
        <w:rPr>
          <w:rFonts w:ascii="Times New Roman" w:hAnsi="Times New Roman" w:cs="Times New Roman"/>
          <w:sz w:val="24"/>
          <w:szCs w:val="24"/>
        </w:rPr>
        <w:t xml:space="preserve"> SMART objectives for their experiments.</w:t>
      </w:r>
      <w:r>
        <w:rPr>
          <w:rFonts w:ascii="Times New Roman" w:hAnsi="Times New Roman" w:cs="Times New Roman"/>
          <w:sz w:val="24"/>
          <w:szCs w:val="24"/>
        </w:rPr>
        <w:t xml:space="preserve"> They should c</w:t>
      </w:r>
      <w:r w:rsidR="00D826CC" w:rsidRPr="000F7EDA">
        <w:rPr>
          <w:rFonts w:ascii="Times New Roman" w:hAnsi="Times New Roman" w:cs="Times New Roman"/>
          <w:sz w:val="24"/>
          <w:szCs w:val="24"/>
        </w:rPr>
        <w:t>onduct extensive literature review in a bid to provide basis on which they base they research an addition to fostering understanding of the research topic.</w:t>
      </w:r>
      <w:r>
        <w:rPr>
          <w:rFonts w:ascii="Times New Roman" w:hAnsi="Times New Roman" w:cs="Times New Roman"/>
          <w:sz w:val="24"/>
          <w:szCs w:val="24"/>
        </w:rPr>
        <w:t xml:space="preserve"> They s</w:t>
      </w:r>
      <w:r w:rsidR="001E4407" w:rsidRPr="000F7EDA">
        <w:rPr>
          <w:rFonts w:ascii="Times New Roman" w:hAnsi="Times New Roman" w:cs="Times New Roman"/>
          <w:sz w:val="24"/>
          <w:szCs w:val="24"/>
        </w:rPr>
        <w:t xml:space="preserve">hould clearly describe the materials and methods used in their experiments while placing specific emphasis on the type of experiments being used, adequate description of the experiment and a breakdown step by step </w:t>
      </w:r>
      <w:r w:rsidR="00D826CC" w:rsidRPr="000F7EDA">
        <w:rPr>
          <w:rFonts w:ascii="Times New Roman" w:hAnsi="Times New Roman" w:cs="Times New Roman"/>
          <w:sz w:val="24"/>
          <w:szCs w:val="24"/>
        </w:rPr>
        <w:t>procedure on how the experiments were conducted. In addition, they should indicate the optimum condition in which the experiments were done.</w:t>
      </w:r>
      <w:r>
        <w:rPr>
          <w:rFonts w:ascii="Times New Roman" w:hAnsi="Times New Roman" w:cs="Times New Roman"/>
          <w:sz w:val="24"/>
          <w:szCs w:val="24"/>
        </w:rPr>
        <w:t xml:space="preserve"> Lastly, they should i</w:t>
      </w:r>
      <w:r w:rsidR="00D826CC" w:rsidRPr="000F7EDA">
        <w:rPr>
          <w:rFonts w:ascii="Times New Roman" w:hAnsi="Times New Roman" w:cs="Times New Roman"/>
          <w:sz w:val="24"/>
          <w:szCs w:val="24"/>
        </w:rPr>
        <w:t>ndicate how the statistical tests, if any, were used in testing the hypothesis with a relevant conclusion on whether they accepted or rejected their hypothesis and why.</w:t>
      </w:r>
    </w:p>
    <w:p w:rsidR="000F7EDA" w:rsidRDefault="000F7EDA" w:rsidP="00810B0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B5349" w:rsidRDefault="001B5349" w:rsidP="001B5349">
      <w:pPr>
        <w:spacing w:after="0" w:line="480" w:lineRule="auto"/>
        <w:rPr>
          <w:rFonts w:ascii="Times New Roman" w:hAnsi="Times New Roman" w:cs="Times New Roman"/>
          <w:sz w:val="24"/>
          <w:szCs w:val="24"/>
        </w:rPr>
      </w:pPr>
      <w:hyperlink r:id="rId8" w:history="1">
        <w:r w:rsidRPr="003C49A9">
          <w:rPr>
            <w:rStyle w:val="Hyperlink"/>
            <w:rFonts w:ascii="Times New Roman" w:hAnsi="Times New Roman" w:cs="Times New Roman"/>
            <w:sz w:val="24"/>
            <w:szCs w:val="24"/>
          </w:rPr>
          <w:t>https://www.alz.org/alzheimers-dementia/what-is-dementia/types-of-dementia/down-syndrome</w:t>
        </w:r>
      </w:hyperlink>
    </w:p>
    <w:p w:rsidR="001B5349" w:rsidRDefault="001B5349" w:rsidP="001B5349">
      <w:pPr>
        <w:spacing w:after="0" w:line="480" w:lineRule="auto"/>
        <w:rPr>
          <w:rFonts w:ascii="Times New Roman" w:hAnsi="Times New Roman" w:cs="Times New Roman"/>
          <w:sz w:val="24"/>
          <w:szCs w:val="24"/>
        </w:rPr>
      </w:pPr>
      <w:hyperlink r:id="rId9" w:history="1">
        <w:r w:rsidRPr="003C49A9">
          <w:rPr>
            <w:rStyle w:val="Hyperlink"/>
            <w:rFonts w:ascii="Times New Roman" w:hAnsi="Times New Roman" w:cs="Times New Roman"/>
            <w:sz w:val="24"/>
            <w:szCs w:val="24"/>
          </w:rPr>
          <w:t>https://www.cdc.gov/ncbddd/birthd</w:t>
        </w:r>
        <w:bookmarkStart w:id="0" w:name="_GoBack"/>
        <w:bookmarkEnd w:id="0"/>
        <w:r w:rsidRPr="003C49A9">
          <w:rPr>
            <w:rStyle w:val="Hyperlink"/>
            <w:rFonts w:ascii="Times New Roman" w:hAnsi="Times New Roman" w:cs="Times New Roman"/>
            <w:sz w:val="24"/>
            <w:szCs w:val="24"/>
          </w:rPr>
          <w:t>efects/downsyndrome/data.html</w:t>
        </w:r>
      </w:hyperlink>
    </w:p>
    <w:p w:rsidR="001B5349" w:rsidRDefault="001B5349" w:rsidP="001B534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Kim, H., Lee, K., Kim, A., Choi, M., Choi, K., Kang, M., Chi, S., Lee, M., Lee, J., Lee, S., Song, </w:t>
      </w:r>
    </w:p>
    <w:p w:rsidR="001B5349" w:rsidRDefault="001B5349" w:rsidP="001B5349">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 xml:space="preserve">W., Yu, K., &amp; Cho, S. (2016). A Chemical with proven Clinical Safety rescues Down-syndrome-related Phenotypes in through DYRK1A Inhibition. </w:t>
      </w:r>
      <w:r w:rsidRPr="00244CAD">
        <w:rPr>
          <w:rFonts w:ascii="Times New Roman" w:hAnsi="Times New Roman" w:cs="Times New Roman"/>
          <w:i/>
          <w:sz w:val="24"/>
          <w:szCs w:val="24"/>
        </w:rPr>
        <w:t>Dis Model Mech</w:t>
      </w:r>
      <w:r>
        <w:rPr>
          <w:rFonts w:ascii="Times New Roman" w:hAnsi="Times New Roman" w:cs="Times New Roman"/>
          <w:sz w:val="24"/>
          <w:szCs w:val="24"/>
        </w:rPr>
        <w:t>., 9(8): 839-848</w:t>
      </w:r>
    </w:p>
    <w:p w:rsidR="001B5349" w:rsidRDefault="001B5349" w:rsidP="001B5349">
      <w:pPr>
        <w:spacing w:line="480" w:lineRule="auto"/>
        <w:rPr>
          <w:rFonts w:ascii="Times New Roman" w:hAnsi="Times New Roman" w:cs="Times New Roman"/>
          <w:sz w:val="24"/>
          <w:szCs w:val="24"/>
        </w:rPr>
      </w:pPr>
    </w:p>
    <w:p w:rsidR="000F7EDA" w:rsidRPr="000F7EDA" w:rsidRDefault="000F7EDA" w:rsidP="000F7EDA">
      <w:pPr>
        <w:spacing w:line="480" w:lineRule="auto"/>
        <w:ind w:left="720"/>
        <w:rPr>
          <w:rFonts w:ascii="Times New Roman" w:hAnsi="Times New Roman" w:cs="Times New Roman"/>
          <w:sz w:val="24"/>
          <w:szCs w:val="24"/>
        </w:rPr>
      </w:pPr>
    </w:p>
    <w:sectPr w:rsidR="000F7EDA" w:rsidRPr="000F7EDA" w:rsidSect="001A118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2B2F" w:rsidRDefault="00C62B2F" w:rsidP="001A1183">
      <w:pPr>
        <w:spacing w:after="0" w:line="240" w:lineRule="auto"/>
      </w:pPr>
      <w:r>
        <w:separator/>
      </w:r>
    </w:p>
  </w:endnote>
  <w:endnote w:type="continuationSeparator" w:id="0">
    <w:p w:rsidR="00C62B2F" w:rsidRDefault="00C62B2F" w:rsidP="001A1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2B2F" w:rsidRDefault="00C62B2F" w:rsidP="001A1183">
      <w:pPr>
        <w:spacing w:after="0" w:line="240" w:lineRule="auto"/>
      </w:pPr>
      <w:r>
        <w:separator/>
      </w:r>
    </w:p>
  </w:footnote>
  <w:footnote w:type="continuationSeparator" w:id="0">
    <w:p w:rsidR="00C62B2F" w:rsidRDefault="00C62B2F" w:rsidP="001A11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83" w:rsidRPr="001A1183" w:rsidRDefault="00FC0A19" w:rsidP="001A1183">
    <w:pPr>
      <w:pStyle w:val="Header"/>
      <w:rPr>
        <w:rFonts w:ascii="Times New Roman" w:hAnsi="Times New Roman" w:cs="Times New Roman"/>
        <w:sz w:val="24"/>
        <w:szCs w:val="24"/>
      </w:rPr>
    </w:pPr>
    <w:r>
      <w:rPr>
        <w:rFonts w:ascii="Times New Roman" w:hAnsi="Times New Roman" w:cs="Times New Roman"/>
        <w:sz w:val="24"/>
        <w:szCs w:val="24"/>
      </w:rPr>
      <w:t>ARTICLE</w:t>
    </w:r>
    <w:r w:rsidR="001A1183" w:rsidRPr="001A1183">
      <w:rPr>
        <w:rFonts w:ascii="Times New Roman" w:hAnsi="Times New Roman" w:cs="Times New Roman"/>
        <w:sz w:val="24"/>
        <w:szCs w:val="24"/>
      </w:rPr>
      <w:t xml:space="preserve"> REVIEW </w:t>
    </w:r>
    <w:r w:rsidR="001A1183">
      <w:rPr>
        <w:rFonts w:ascii="Times New Roman" w:hAnsi="Times New Roman" w:cs="Times New Roman"/>
        <w:sz w:val="24"/>
        <w:szCs w:val="24"/>
      </w:rPr>
      <w:t xml:space="preserve">                                                                                                                  </w:t>
    </w:r>
    <w:sdt>
      <w:sdtPr>
        <w:rPr>
          <w:rFonts w:ascii="Times New Roman" w:hAnsi="Times New Roman" w:cs="Times New Roman"/>
          <w:sz w:val="24"/>
          <w:szCs w:val="24"/>
        </w:rPr>
        <w:id w:val="-1055622507"/>
        <w:docPartObj>
          <w:docPartGallery w:val="Page Numbers (Top of Page)"/>
          <w:docPartUnique/>
        </w:docPartObj>
      </w:sdtPr>
      <w:sdtEndPr>
        <w:rPr>
          <w:noProof/>
        </w:rPr>
      </w:sdtEndPr>
      <w:sdtContent>
        <w:r w:rsidR="001A1183" w:rsidRPr="001A1183">
          <w:rPr>
            <w:rFonts w:ascii="Times New Roman" w:hAnsi="Times New Roman" w:cs="Times New Roman"/>
            <w:sz w:val="24"/>
            <w:szCs w:val="24"/>
          </w:rPr>
          <w:fldChar w:fldCharType="begin"/>
        </w:r>
        <w:r w:rsidR="001A1183" w:rsidRPr="001A1183">
          <w:rPr>
            <w:rFonts w:ascii="Times New Roman" w:hAnsi="Times New Roman" w:cs="Times New Roman"/>
            <w:sz w:val="24"/>
            <w:szCs w:val="24"/>
          </w:rPr>
          <w:instrText xml:space="preserve"> PAGE   \* MERGEFORMAT </w:instrText>
        </w:r>
        <w:r w:rsidR="001A1183" w:rsidRPr="001A1183">
          <w:rPr>
            <w:rFonts w:ascii="Times New Roman" w:hAnsi="Times New Roman" w:cs="Times New Roman"/>
            <w:sz w:val="24"/>
            <w:szCs w:val="24"/>
          </w:rPr>
          <w:fldChar w:fldCharType="separate"/>
        </w:r>
        <w:r w:rsidR="001B5349">
          <w:rPr>
            <w:rFonts w:ascii="Times New Roman" w:hAnsi="Times New Roman" w:cs="Times New Roman"/>
            <w:noProof/>
            <w:sz w:val="24"/>
            <w:szCs w:val="24"/>
          </w:rPr>
          <w:t>8</w:t>
        </w:r>
        <w:r w:rsidR="001A1183" w:rsidRPr="001A1183">
          <w:rPr>
            <w:rFonts w:ascii="Times New Roman" w:hAnsi="Times New Roman" w:cs="Times New Roman"/>
            <w:noProof/>
            <w:sz w:val="24"/>
            <w:szCs w:val="24"/>
          </w:rPr>
          <w:fldChar w:fldCharType="end"/>
        </w:r>
      </w:sdtContent>
    </w:sdt>
  </w:p>
  <w:p w:rsidR="001A1183" w:rsidRDefault="001A11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183" w:rsidRPr="001A1183" w:rsidRDefault="001A1183" w:rsidP="001A1183">
    <w:pPr>
      <w:pStyle w:val="Header"/>
      <w:rPr>
        <w:rFonts w:ascii="Times New Roman" w:hAnsi="Times New Roman" w:cs="Times New Roman"/>
        <w:sz w:val="24"/>
        <w:szCs w:val="24"/>
      </w:rPr>
    </w:pPr>
    <w:r w:rsidRPr="001A1183">
      <w:rPr>
        <w:rFonts w:ascii="Times New Roman" w:hAnsi="Times New Roman" w:cs="Times New Roman"/>
        <w:sz w:val="24"/>
        <w:szCs w:val="24"/>
      </w:rPr>
      <w:t xml:space="preserve">Running head: </w:t>
    </w:r>
    <w:r w:rsidR="00FC0A19">
      <w:rPr>
        <w:rFonts w:ascii="Times New Roman" w:hAnsi="Times New Roman" w:cs="Times New Roman"/>
        <w:sz w:val="24"/>
        <w:szCs w:val="24"/>
      </w:rPr>
      <w:t>ARTICLE</w:t>
    </w:r>
    <w:r w:rsidRPr="001A1183">
      <w:rPr>
        <w:rFonts w:ascii="Times New Roman" w:hAnsi="Times New Roman" w:cs="Times New Roman"/>
        <w:sz w:val="24"/>
        <w:szCs w:val="24"/>
      </w:rPr>
      <w:t xml:space="preserve"> REVIEW</w:t>
    </w:r>
    <w:r>
      <w:rPr>
        <w:rFonts w:ascii="Times New Roman" w:hAnsi="Times New Roman" w:cs="Times New Roman"/>
        <w:sz w:val="24"/>
        <w:szCs w:val="24"/>
      </w:rPr>
      <w:t xml:space="preserve">                                                                                          </w:t>
    </w:r>
    <w:r w:rsidRPr="001A1183">
      <w:rPr>
        <w:rFonts w:ascii="Times New Roman" w:hAnsi="Times New Roman" w:cs="Times New Roman"/>
        <w:sz w:val="24"/>
        <w:szCs w:val="24"/>
      </w:rPr>
      <w:t xml:space="preserve"> </w:t>
    </w:r>
    <w:sdt>
      <w:sdtPr>
        <w:rPr>
          <w:rFonts w:ascii="Times New Roman" w:hAnsi="Times New Roman" w:cs="Times New Roman"/>
          <w:sz w:val="24"/>
          <w:szCs w:val="24"/>
        </w:rPr>
        <w:id w:val="-1258589166"/>
        <w:docPartObj>
          <w:docPartGallery w:val="Page Numbers (Top of Page)"/>
          <w:docPartUnique/>
        </w:docPartObj>
      </w:sdtPr>
      <w:sdtEndPr>
        <w:rPr>
          <w:noProof/>
        </w:rPr>
      </w:sdtEndPr>
      <w:sdtContent>
        <w:r w:rsidRPr="001A1183">
          <w:rPr>
            <w:rFonts w:ascii="Times New Roman" w:hAnsi="Times New Roman" w:cs="Times New Roman"/>
            <w:sz w:val="24"/>
            <w:szCs w:val="24"/>
          </w:rPr>
          <w:fldChar w:fldCharType="begin"/>
        </w:r>
        <w:r w:rsidRPr="001A1183">
          <w:rPr>
            <w:rFonts w:ascii="Times New Roman" w:hAnsi="Times New Roman" w:cs="Times New Roman"/>
            <w:sz w:val="24"/>
            <w:szCs w:val="24"/>
          </w:rPr>
          <w:instrText xml:space="preserve"> PAGE   \* MERGEFORMAT </w:instrText>
        </w:r>
        <w:r w:rsidRPr="001A1183">
          <w:rPr>
            <w:rFonts w:ascii="Times New Roman" w:hAnsi="Times New Roman" w:cs="Times New Roman"/>
            <w:sz w:val="24"/>
            <w:szCs w:val="24"/>
          </w:rPr>
          <w:fldChar w:fldCharType="separate"/>
        </w:r>
        <w:r w:rsidR="001B5349">
          <w:rPr>
            <w:rFonts w:ascii="Times New Roman" w:hAnsi="Times New Roman" w:cs="Times New Roman"/>
            <w:noProof/>
            <w:sz w:val="24"/>
            <w:szCs w:val="24"/>
          </w:rPr>
          <w:t>1</w:t>
        </w:r>
        <w:r w:rsidRPr="001A1183">
          <w:rPr>
            <w:rFonts w:ascii="Times New Roman" w:hAnsi="Times New Roman" w:cs="Times New Roman"/>
            <w:noProof/>
            <w:sz w:val="24"/>
            <w:szCs w:val="24"/>
          </w:rPr>
          <w:fldChar w:fldCharType="end"/>
        </w:r>
      </w:sdtContent>
    </w:sdt>
  </w:p>
  <w:p w:rsidR="001A1183" w:rsidRDefault="001A11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F04A10"/>
    <w:multiLevelType w:val="hybridMultilevel"/>
    <w:tmpl w:val="FC3C2E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FB6F0B"/>
    <w:multiLevelType w:val="hybridMultilevel"/>
    <w:tmpl w:val="AEEE55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354"/>
    <w:rsid w:val="000F7354"/>
    <w:rsid w:val="000F7EDA"/>
    <w:rsid w:val="00190748"/>
    <w:rsid w:val="00196B1D"/>
    <w:rsid w:val="001A1183"/>
    <w:rsid w:val="001B5349"/>
    <w:rsid w:val="001E4407"/>
    <w:rsid w:val="00244CAD"/>
    <w:rsid w:val="002C382D"/>
    <w:rsid w:val="00390516"/>
    <w:rsid w:val="00420909"/>
    <w:rsid w:val="00616012"/>
    <w:rsid w:val="0063324A"/>
    <w:rsid w:val="006700AB"/>
    <w:rsid w:val="00680474"/>
    <w:rsid w:val="00751B43"/>
    <w:rsid w:val="007529BF"/>
    <w:rsid w:val="00810B01"/>
    <w:rsid w:val="009F08A6"/>
    <w:rsid w:val="00A01180"/>
    <w:rsid w:val="00BF52F2"/>
    <w:rsid w:val="00C26F12"/>
    <w:rsid w:val="00C62B2F"/>
    <w:rsid w:val="00CA10AA"/>
    <w:rsid w:val="00D007C8"/>
    <w:rsid w:val="00D826CC"/>
    <w:rsid w:val="00D87C22"/>
    <w:rsid w:val="00DA179C"/>
    <w:rsid w:val="00DD5CDE"/>
    <w:rsid w:val="00F70DFC"/>
    <w:rsid w:val="00F95830"/>
    <w:rsid w:val="00FC0A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474"/>
    <w:pPr>
      <w:ind w:left="720"/>
      <w:contextualSpacing/>
    </w:pPr>
  </w:style>
  <w:style w:type="paragraph" w:styleId="Header">
    <w:name w:val="header"/>
    <w:basedOn w:val="Normal"/>
    <w:link w:val="HeaderChar"/>
    <w:uiPriority w:val="99"/>
    <w:unhideWhenUsed/>
    <w:rsid w:val="001A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183"/>
  </w:style>
  <w:style w:type="paragraph" w:styleId="Footer">
    <w:name w:val="footer"/>
    <w:basedOn w:val="Normal"/>
    <w:link w:val="FooterChar"/>
    <w:uiPriority w:val="99"/>
    <w:unhideWhenUsed/>
    <w:rsid w:val="001A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183"/>
  </w:style>
  <w:style w:type="character" w:styleId="Hyperlink">
    <w:name w:val="Hyperlink"/>
    <w:basedOn w:val="DefaultParagraphFont"/>
    <w:uiPriority w:val="99"/>
    <w:unhideWhenUsed/>
    <w:rsid w:val="001B53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0474"/>
    <w:pPr>
      <w:ind w:left="720"/>
      <w:contextualSpacing/>
    </w:pPr>
  </w:style>
  <w:style w:type="paragraph" w:styleId="Header">
    <w:name w:val="header"/>
    <w:basedOn w:val="Normal"/>
    <w:link w:val="HeaderChar"/>
    <w:uiPriority w:val="99"/>
    <w:unhideWhenUsed/>
    <w:rsid w:val="001A11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183"/>
  </w:style>
  <w:style w:type="paragraph" w:styleId="Footer">
    <w:name w:val="footer"/>
    <w:basedOn w:val="Normal"/>
    <w:link w:val="FooterChar"/>
    <w:uiPriority w:val="99"/>
    <w:unhideWhenUsed/>
    <w:rsid w:val="001A11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183"/>
  </w:style>
  <w:style w:type="character" w:styleId="Hyperlink">
    <w:name w:val="Hyperlink"/>
    <w:basedOn w:val="DefaultParagraphFont"/>
    <w:uiPriority w:val="99"/>
    <w:unhideWhenUsed/>
    <w:rsid w:val="001B534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z.org/alzheimers-dementia/what-is-dementia/types-of-dementia/down-syndrom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dc.gov/ncbddd/birthdefects/downsyndrome/dat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166</TotalTime>
  <Pages>8</Pages>
  <Words>1671</Words>
  <Characters>9527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12</cp:revision>
  <dcterms:created xsi:type="dcterms:W3CDTF">2020-03-03T04:36:00Z</dcterms:created>
  <dcterms:modified xsi:type="dcterms:W3CDTF">2020-03-04T18:10:00Z</dcterms:modified>
</cp:coreProperties>
</file>